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F37" w:rsidRDefault="00AF44BC" w:rsidP="00AF44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БЕССТРАШНЕНСКОГО СЕЛЬСКОГО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ОТРАДНЕНСКОГО РАЙОНА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83CD1" w:rsidRDefault="008641BE" w:rsidP="00B83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925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1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proofErr w:type="gramEnd"/>
      <w:r w:rsidR="00D31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                                                                                       </w:t>
      </w: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31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  <w:bookmarkStart w:id="0" w:name="_GoBack"/>
      <w:bookmarkEnd w:id="0"/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641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Pr="00864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Бесстрашная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B83CD1" w:rsidRDefault="00B83CD1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3CD1">
        <w:rPr>
          <w:rFonts w:ascii="Times New Roman" w:eastAsia="Calibri" w:hAnsi="Times New Roman" w:cs="Times New Roman"/>
          <w:b/>
          <w:sz w:val="28"/>
          <w:szCs w:val="28"/>
        </w:rPr>
        <w:t>Об утверждении Правил определения нормативных затрат на обеспечение функций ад</w:t>
      </w:r>
      <w:r>
        <w:rPr>
          <w:rFonts w:ascii="Times New Roman" w:hAnsi="Times New Roman"/>
          <w:b/>
          <w:sz w:val="28"/>
          <w:szCs w:val="28"/>
        </w:rPr>
        <w:t xml:space="preserve">министрации </w:t>
      </w:r>
      <w:r w:rsidR="00B0589A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есстраш</w:t>
      </w:r>
      <w:r w:rsidRPr="00B83CD1">
        <w:rPr>
          <w:rFonts w:ascii="Times New Roman" w:eastAsia="Calibri" w:hAnsi="Times New Roman" w:cs="Times New Roman"/>
          <w:b/>
          <w:sz w:val="28"/>
          <w:szCs w:val="28"/>
        </w:rPr>
        <w:t>ненского сельского по</w:t>
      </w:r>
      <w:r w:rsidR="00BC595F">
        <w:rPr>
          <w:rFonts w:ascii="Times New Roman" w:eastAsia="Calibri" w:hAnsi="Times New Roman" w:cs="Times New Roman"/>
          <w:b/>
          <w:sz w:val="28"/>
          <w:szCs w:val="28"/>
        </w:rPr>
        <w:t>селения я Отрадненского района</w:t>
      </w:r>
      <w:r w:rsidRPr="00B83C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641BE" w:rsidRPr="00BC595F" w:rsidRDefault="008641BE" w:rsidP="00BC59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95F" w:rsidRPr="00BC595F" w:rsidRDefault="008641BE" w:rsidP="00BC5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BC595F" w:rsidRPr="00BC595F">
        <w:rPr>
          <w:rFonts w:ascii="Times New Roman" w:eastAsia="Calibri" w:hAnsi="Times New Roman" w:cs="Times New Roman"/>
          <w:sz w:val="28"/>
          <w:szCs w:val="28"/>
        </w:rPr>
        <w:t>В соответствии с пунктом 2 части 4 статьи 19 Федерального закона                       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="00BC595F" w:rsidRPr="00BC595F">
        <w:rPr>
          <w:rFonts w:ascii="Times New Roman" w:eastAsia="Calibri" w:hAnsi="Times New Roman" w:cs="Times New Roman"/>
          <w:sz w:val="28"/>
          <w:szCs w:val="28"/>
        </w:rPr>
        <w:t xml:space="preserve">»,   </w:t>
      </w:r>
      <w:proofErr w:type="gramEnd"/>
      <w:r w:rsidR="00BC595F" w:rsidRPr="00BC595F">
        <w:rPr>
          <w:rFonts w:ascii="Times New Roman" w:eastAsia="Calibri" w:hAnsi="Times New Roman" w:cs="Times New Roman"/>
          <w:sz w:val="28"/>
          <w:szCs w:val="28"/>
        </w:rPr>
        <w:t xml:space="preserve">                п о с т а н о в л я ю:</w:t>
      </w:r>
    </w:p>
    <w:p w:rsidR="00AF44BC" w:rsidRDefault="00BC595F" w:rsidP="00AF44BC">
      <w:pPr>
        <w:pStyle w:val="1"/>
        <w:numPr>
          <w:ilvl w:val="0"/>
          <w:numId w:val="2"/>
        </w:numPr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C595F">
        <w:rPr>
          <w:rFonts w:ascii="Times New Roman" w:hAnsi="Times New Roman"/>
          <w:b w:val="0"/>
          <w:color w:val="auto"/>
          <w:sz w:val="28"/>
          <w:szCs w:val="28"/>
        </w:rPr>
        <w:t xml:space="preserve">Утвердить Правила определения нормативных затрат на обеспечение функций администрации </w:t>
      </w:r>
      <w:r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Бесстрашненского</w:t>
      </w:r>
      <w:r w:rsidRPr="00BC595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сельского поселения Отрадненского района </w:t>
      </w:r>
      <w:r w:rsidRPr="00BC595F">
        <w:rPr>
          <w:rFonts w:ascii="Times New Roman" w:hAnsi="Times New Roman"/>
          <w:b w:val="0"/>
          <w:color w:val="auto"/>
          <w:sz w:val="28"/>
          <w:szCs w:val="28"/>
        </w:rPr>
        <w:t>(прилагаются).</w:t>
      </w:r>
    </w:p>
    <w:p w:rsidR="00AF44BC" w:rsidRPr="00AF44BC" w:rsidRDefault="00AF44BC" w:rsidP="00AF4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от 19 апреля 20</w:t>
      </w:r>
      <w:r w:rsidR="00D31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 года № 76 «</w:t>
      </w:r>
      <w:r w:rsidRPr="00AF44BC">
        <w:rPr>
          <w:rFonts w:ascii="Times New Roman" w:hAnsi="Times New Roman" w:cs="Times New Roman"/>
          <w:sz w:val="28"/>
          <w:szCs w:val="28"/>
        </w:rPr>
        <w:t>Об утверждении Правил определения нормативных затрат на обеспечение функций администрации Бесстрашненского сельского поселения я Отрадненского района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BC595F" w:rsidRPr="00BC595F" w:rsidRDefault="00BC595F" w:rsidP="00BC59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Начальнику общего </w:t>
      </w:r>
      <w:proofErr w:type="gramStart"/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>отдела  администрации</w:t>
      </w:r>
      <w:proofErr w:type="gramEnd"/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Бесстрашненского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сельского </w:t>
      </w:r>
      <w:r w:rsidR="00AF44BC">
        <w:rPr>
          <w:rFonts w:ascii="Times New Roman" w:eastAsia="Calibri" w:hAnsi="Times New Roman" w:cs="Times New Roman"/>
          <w:spacing w:val="-6"/>
          <w:sz w:val="28"/>
          <w:szCs w:val="28"/>
        </w:rPr>
        <w:t>поселения Отрадненского района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обеспечить размещение </w:t>
      </w: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Правил определения нормативных затрат 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>в единой информационной системе в сфере закупок в соответствии с требованиями законодательства о контрактной системе в сфере закупок</w:t>
      </w:r>
      <w:r w:rsidRPr="00BC595F">
        <w:rPr>
          <w:rFonts w:ascii="Times New Roman" w:eastAsia="Calibri" w:hAnsi="Times New Roman" w:cs="Times New Roman"/>
          <w:sz w:val="28"/>
          <w:szCs w:val="28"/>
        </w:rPr>
        <w:t>. Обеспечить опубликование (обнародование) настоящего постановления в установленном порядке.</w:t>
      </w:r>
    </w:p>
    <w:p w:rsidR="00BC595F" w:rsidRPr="00BC595F" w:rsidRDefault="00BC595F" w:rsidP="00BC59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BC595F" w:rsidRPr="00BC595F" w:rsidRDefault="00BC595F" w:rsidP="00BC59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bookmarkStart w:id="1" w:name="sub_3"/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Постановление вступает в силу со дня его </w:t>
      </w:r>
      <w:r w:rsidRPr="00BC595F">
        <w:rPr>
          <w:rStyle w:val="a3"/>
          <w:rFonts w:ascii="Times New Roman" w:eastAsia="Calibri" w:hAnsi="Times New Roman"/>
          <w:color w:val="auto"/>
          <w:sz w:val="28"/>
          <w:szCs w:val="28"/>
        </w:rPr>
        <w:t>официального опубликования</w:t>
      </w: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 (обнародования), и распространяется на правоотношения, возникшие с 1 января 2016 года.</w:t>
      </w:r>
    </w:p>
    <w:bookmarkEnd w:id="1"/>
    <w:p w:rsidR="00B83CD1" w:rsidRPr="00B83CD1" w:rsidRDefault="00B83CD1" w:rsidP="00BC5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41BE" w:rsidRPr="008641BE" w:rsidRDefault="008641BE" w:rsidP="00B83C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41BE" w:rsidRPr="008641BE" w:rsidRDefault="008641BE" w:rsidP="00864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Бесстрашненского сельского</w:t>
      </w:r>
    </w:p>
    <w:p w:rsidR="008641BE" w:rsidRDefault="008641BE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Отрадненского района                                                     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Рязанцев</w:t>
      </w: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УТВЕРЖДЕНЫ</w:t>
      </w: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Бесстрашненского сельского поселения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Отрадненского района</w:t>
      </w:r>
    </w:p>
    <w:p w:rsidR="008641BE" w:rsidRPr="008641BE" w:rsidRDefault="00FB4734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</w:t>
      </w:r>
    </w:p>
    <w:p w:rsidR="008641BE" w:rsidRPr="008641BE" w:rsidRDefault="008641BE" w:rsidP="008641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нормирования в сфере закупок товаров, работ, услуг</w:t>
      </w:r>
    </w:p>
    <w:p w:rsidR="008641BE" w:rsidRPr="008641BE" w:rsidRDefault="008641BE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обеспечения муниципальных нужд Бесстрашненского сельского поселения Отрадненского района</w:t>
      </w:r>
    </w:p>
    <w:p w:rsidR="008641BE" w:rsidRPr="00BC595F" w:rsidRDefault="008641BE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95F" w:rsidRPr="00BC595F" w:rsidRDefault="00BC595F" w:rsidP="00BC595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Настоящий документ устанавливает правила определения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(далее – нормативные затраты).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2.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Нормативные затраты применяются для обоснования объекта и (или) объектов закупки администрацией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3.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Нормативные затраты, порядок определения которых не установлен в Порядке расчета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района, в том числе формулах расчета (далее – Порядок), согласно приложению №1 к настоящим Правилам определяются в порядке, устанавливаемом правовым актом.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администрации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как получателю бюджетных средств лимитов бюджетных обязательств на закупку товаров, работ, услуг в рамках исполнения бюджета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 При определении нормативных затрат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второго настоящего пункта.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4.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Для определения нормативных затрат в соответствии с разделами I и II Порядка в формулах используются нормативы цены товаров, работ, услуг, устанавливаемые с учетом положений статьи 22 Федерального </w:t>
      </w:r>
      <w:proofErr w:type="gramStart"/>
      <w:r w:rsidRPr="00BC595F">
        <w:rPr>
          <w:rFonts w:ascii="Times New Roman" w:hAnsi="Times New Roman" w:cs="Times New Roman"/>
          <w:sz w:val="28"/>
          <w:szCs w:val="28"/>
        </w:rPr>
        <w:t>закона  от</w:t>
      </w:r>
      <w:proofErr w:type="gramEnd"/>
      <w:r w:rsidRPr="00BC595F">
        <w:rPr>
          <w:rFonts w:ascii="Times New Roman" w:hAnsi="Times New Roman" w:cs="Times New Roman"/>
          <w:sz w:val="28"/>
          <w:szCs w:val="28"/>
        </w:rPr>
        <w:t xml:space="preserve">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</w:t>
      </w:r>
      <w:r w:rsidRPr="00BC595F">
        <w:rPr>
          <w:rFonts w:ascii="Times New Roman" w:hAnsi="Times New Roman" w:cs="Times New Roman"/>
          <w:sz w:val="28"/>
          <w:szCs w:val="28"/>
        </w:rPr>
        <w:lastRenderedPageBreak/>
        <w:t>закон № 44-ФЗ).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разделами  I и II Порядка в формулах используются нормативы количества товаров, работ, услуг, устанавливаемые администрацией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 района, если эти нормативы не предусмотрены приложениями №1 и 2 к Порядку</w:t>
      </w:r>
    </w:p>
    <w:p w:rsidR="00BC595F" w:rsidRPr="00BC595F" w:rsidRDefault="00BC595F" w:rsidP="00BC595F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5. Администрация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разрабатывает и утверждает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полномочий, должностных обязанностей его работников) нормативы: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а)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абонентских номеров пользовательского (оконечного) оборудования, подключенного к сети подвижной связи;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б)</w:t>
      </w:r>
      <w:r w:rsidRPr="00BC595F">
        <w:rPr>
          <w:rFonts w:ascii="Times New Roman" w:hAnsi="Times New Roman" w:cs="Times New Roman"/>
          <w:sz w:val="28"/>
          <w:szCs w:val="28"/>
        </w:rPr>
        <w:tab/>
        <w:t>цены услуг подвижной связи;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в)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количества SIM-карт; 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г)</w:t>
      </w:r>
      <w:r w:rsidRPr="00BC595F">
        <w:rPr>
          <w:rFonts w:ascii="Times New Roman" w:hAnsi="Times New Roman" w:cs="Times New Roman"/>
          <w:sz w:val="28"/>
          <w:szCs w:val="28"/>
        </w:rPr>
        <w:tab/>
        <w:t>цены и количества принтеров, многофункциональных устройств и копировальных аппаратов (оргтехники);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д)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средств подвижной связи;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е)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планшетных компьютеров;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ж)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носителей информации;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з)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и)</w:t>
      </w:r>
      <w:r w:rsidRPr="00BC595F">
        <w:rPr>
          <w:rFonts w:ascii="Times New Roman" w:hAnsi="Times New Roman" w:cs="Times New Roman"/>
          <w:sz w:val="28"/>
          <w:szCs w:val="28"/>
        </w:rPr>
        <w:tab/>
        <w:t>перечня периодических печатных изданий и справочной литературы;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к)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транспортных средств;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л)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мебели;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м)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канцелярских принадлежностей;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н)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хозяйственных товаров и принадлежностей;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о)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материальных запасов для нужд гражданской обороны;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п)</w:t>
      </w:r>
      <w:r w:rsidRPr="00BC595F">
        <w:rPr>
          <w:rFonts w:ascii="Times New Roman" w:hAnsi="Times New Roman" w:cs="Times New Roman"/>
          <w:sz w:val="28"/>
          <w:szCs w:val="28"/>
        </w:rPr>
        <w:tab/>
        <w:t>иных товаров и услуг.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6.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балансе. 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7.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В отношении товаров, относящихся к основным средствам, устанавливаются сроки их полезного использования в соответствии с </w:t>
      </w:r>
      <w:r w:rsidRPr="00BC595F">
        <w:rPr>
          <w:rFonts w:ascii="Times New Roman" w:hAnsi="Times New Roman" w:cs="Times New Roman"/>
          <w:sz w:val="28"/>
          <w:szCs w:val="28"/>
        </w:rPr>
        <w:lastRenderedPageBreak/>
        <w:t>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BC595F" w:rsidRPr="00BC595F" w:rsidRDefault="00BC595F" w:rsidP="00BC59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Бесстрашненского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  <w:r w:rsidRPr="00BC595F">
        <w:rPr>
          <w:rFonts w:ascii="Times New Roman" w:hAnsi="Times New Roman" w:cs="Times New Roman"/>
        </w:rPr>
        <w:t xml:space="preserve"> </w:t>
      </w:r>
    </w:p>
    <w:p w:rsidR="00BC595F" w:rsidRPr="00BC595F" w:rsidRDefault="00BC595F" w:rsidP="00BC59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 системе закупок.</w:t>
      </w:r>
    </w:p>
    <w:p w:rsidR="008641BE" w:rsidRPr="00BC595F" w:rsidRDefault="008641BE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BC" w:rsidRDefault="00BC595F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8641BE" w:rsidRPr="008641BE" w:rsidRDefault="008641BE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05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Отрадненского района</w:t>
      </w:r>
      <w:r w:rsid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4B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Рязанцев</w:t>
      </w: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95F" w:rsidRPr="008641BE" w:rsidRDefault="00BC595F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C595F" w:rsidRPr="008641BE" w:rsidSect="00BC595F">
      <w:pgSz w:w="12240" w:h="15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57636"/>
    <w:multiLevelType w:val="hybridMultilevel"/>
    <w:tmpl w:val="700A9316"/>
    <w:lvl w:ilvl="0" w:tplc="9662AD28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661EFF"/>
    <w:multiLevelType w:val="hybridMultilevel"/>
    <w:tmpl w:val="2354BB68"/>
    <w:lvl w:ilvl="0" w:tplc="70B8D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BE"/>
    <w:rsid w:val="0012737B"/>
    <w:rsid w:val="00334A7F"/>
    <w:rsid w:val="00355315"/>
    <w:rsid w:val="00462308"/>
    <w:rsid w:val="004B42EC"/>
    <w:rsid w:val="00517AD1"/>
    <w:rsid w:val="005E2281"/>
    <w:rsid w:val="007D54A7"/>
    <w:rsid w:val="008641BE"/>
    <w:rsid w:val="009252A0"/>
    <w:rsid w:val="00AF44BC"/>
    <w:rsid w:val="00B0589A"/>
    <w:rsid w:val="00B83CD1"/>
    <w:rsid w:val="00BC595F"/>
    <w:rsid w:val="00BC6CE2"/>
    <w:rsid w:val="00C4258B"/>
    <w:rsid w:val="00C86BF0"/>
    <w:rsid w:val="00CE494D"/>
    <w:rsid w:val="00D3196C"/>
    <w:rsid w:val="00EA710B"/>
    <w:rsid w:val="00FB4734"/>
    <w:rsid w:val="00FD1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AEB4"/>
  <w15:docId w15:val="{6A57D61B-6045-47B2-B31C-DBE76413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83C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CD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a3">
    <w:name w:val="Гипертекстовая ссылка"/>
    <w:uiPriority w:val="99"/>
    <w:rsid w:val="00B83CD1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D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2016-04-20T12:20:00Z</cp:lastPrinted>
  <dcterms:created xsi:type="dcterms:W3CDTF">2025-04-30T08:35:00Z</dcterms:created>
  <dcterms:modified xsi:type="dcterms:W3CDTF">2025-04-30T09:30:00Z</dcterms:modified>
</cp:coreProperties>
</file>